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F7890">
      <w:pPr>
        <w:pStyle w:val="5"/>
        <w:rPr>
          <w:rFonts w:hint="default" w:ascii="Times New Roman" w:hAnsi="Times New Roman" w:eastAsia="黑体" w:cs="Times New Roman"/>
          <w:b/>
          <w:bCs/>
          <w:color w:val="auto"/>
          <w:kern w:val="2"/>
          <w:sz w:val="32"/>
          <w:szCs w:val="32"/>
          <w:u w:val="none"/>
          <w:lang w:val="en-US" w:eastAsia="zh-CN" w:bidi="ar-SA"/>
        </w:rPr>
      </w:pPr>
      <w:r>
        <w:rPr>
          <w:rFonts w:hint="default" w:ascii="Times New Roman" w:hAnsi="Times New Roman" w:eastAsia="黑体" w:cs="Times New Roman"/>
          <w:b/>
          <w:bCs/>
          <w:color w:val="auto"/>
          <w:kern w:val="2"/>
          <w:sz w:val="32"/>
          <w:szCs w:val="32"/>
          <w:u w:val="none"/>
          <w:lang w:val="en-US" w:eastAsia="zh-CN" w:bidi="ar-SA"/>
        </w:rPr>
        <w:t>附件2</w:t>
      </w:r>
    </w:p>
    <w:p w14:paraId="34CA6320">
      <w:pPr>
        <w:pStyle w:val="5"/>
        <w:rPr>
          <w:rFonts w:hint="default" w:ascii="Times New Roman" w:hAnsi="Times New Roman" w:eastAsia="黑体" w:cs="Times New Roman"/>
          <w:b/>
          <w:bCs/>
          <w:color w:val="auto"/>
          <w:kern w:val="2"/>
          <w:sz w:val="32"/>
          <w:szCs w:val="32"/>
          <w:u w:val="none"/>
          <w:lang w:val="en-US" w:eastAsia="zh-CN" w:bidi="ar-SA"/>
        </w:rPr>
      </w:pPr>
    </w:p>
    <w:p w14:paraId="544A37E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kern w:val="2"/>
          <w:sz w:val="44"/>
          <w:szCs w:val="44"/>
          <w:highlight w:val="none"/>
          <w:u w:val="none"/>
          <w:lang w:val="en-US" w:eastAsia="zh-CN" w:bidi="ar-SA"/>
        </w:rPr>
      </w:pPr>
      <w:r>
        <w:rPr>
          <w:rFonts w:hint="default" w:ascii="Times New Roman" w:hAnsi="Times New Roman" w:eastAsia="方正小标宋简体" w:cs="Times New Roman"/>
          <w:b/>
          <w:bCs/>
          <w:color w:val="auto"/>
          <w:kern w:val="2"/>
          <w:sz w:val="44"/>
          <w:szCs w:val="44"/>
          <w:u w:val="none"/>
          <w:lang w:val="en-US" w:eastAsia="zh-CN" w:bidi="ar-SA"/>
        </w:rPr>
        <w:t>天府烟火</w:t>
      </w:r>
      <w:r>
        <w:rPr>
          <w:rFonts w:hint="default" w:ascii="Times New Roman" w:hAnsi="Times New Roman" w:eastAsia="方正小标宋简体" w:cs="Times New Roman"/>
          <w:b/>
          <w:bCs/>
          <w:color w:val="auto"/>
          <w:kern w:val="2"/>
          <w:sz w:val="44"/>
          <w:szCs w:val="44"/>
          <w:highlight w:val="none"/>
          <w:u w:val="none"/>
          <w:lang w:val="en-US" w:eastAsia="zh-CN" w:bidi="ar-SA"/>
        </w:rPr>
        <w:t>小店规范经营指引清单</w:t>
      </w:r>
      <w:r>
        <w:rPr>
          <w:rFonts w:hint="default" w:ascii="Times New Roman" w:hAnsi="Times New Roman" w:eastAsia="方正小标宋简体" w:cs="Times New Roman"/>
          <w:b/>
          <w:bCs/>
          <w:color w:val="auto"/>
          <w:kern w:val="2"/>
          <w:sz w:val="44"/>
          <w:szCs w:val="44"/>
          <w:u w:val="none"/>
          <w:lang w:val="en-US" w:eastAsia="zh-CN" w:bidi="ar-SA"/>
        </w:rPr>
        <w:t>（餐饮类）</w:t>
      </w:r>
    </w:p>
    <w:p w14:paraId="2B128A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i w:val="0"/>
          <w:iCs w:val="0"/>
          <w:caps w:val="0"/>
          <w:color w:val="auto"/>
          <w:spacing w:val="0"/>
          <w:sz w:val="32"/>
          <w:szCs w:val="32"/>
          <w:u w:val="none"/>
          <w:lang w:val="en-US" w:eastAsia="zh-CN"/>
        </w:rPr>
      </w:pPr>
    </w:p>
    <w:p w14:paraId="5D9BBCB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iCs w:val="0"/>
          <w:caps w:val="0"/>
          <w:color w:val="auto"/>
          <w:spacing w:val="0"/>
          <w:sz w:val="32"/>
          <w:szCs w:val="32"/>
          <w:u w:val="none"/>
          <w:lang w:val="en-US" w:eastAsia="zh-CN"/>
        </w:rPr>
      </w:pPr>
      <w:r>
        <w:rPr>
          <w:rFonts w:hint="default" w:ascii="Times New Roman" w:hAnsi="Times New Roman" w:eastAsia="黑体" w:cs="Times New Roman"/>
          <w:b/>
          <w:bCs/>
          <w:i w:val="0"/>
          <w:iCs w:val="0"/>
          <w:caps w:val="0"/>
          <w:color w:val="auto"/>
          <w:spacing w:val="0"/>
          <w:sz w:val="32"/>
          <w:szCs w:val="32"/>
          <w:u w:val="none"/>
          <w:lang w:val="en-US" w:eastAsia="zh-CN"/>
        </w:rPr>
        <w:t>食品卫生</w:t>
      </w:r>
    </w:p>
    <w:p w14:paraId="2DCBAFE5">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1.依法取得《食品经营许可证》，保持在有效期内，并在醒目位置公示。</w:t>
      </w:r>
    </w:p>
    <w:p w14:paraId="3764C9AE">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2.配合地方市场监督管理部门对食品经营者许可和备案事项的监督检查。</w:t>
      </w:r>
    </w:p>
    <w:p w14:paraId="5DEB1D37">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3.餐具集中消毒的，须委托有资质的消毒企业。自行消毒的，</w:t>
      </w:r>
    </w:p>
    <w:p w14:paraId="38A8C772">
      <w:pPr>
        <w:keepNext w:val="0"/>
        <w:keepLines w:val="0"/>
        <w:pageBreakBefore w:val="0"/>
        <w:widowControl w:val="0"/>
        <w:tabs>
          <w:tab w:val="left" w:pos="7140"/>
        </w:tabs>
        <w:kinsoku/>
        <w:wordWrap/>
        <w:overflowPunct/>
        <w:topLinePunct w:val="0"/>
        <w:autoSpaceDE/>
        <w:autoSpaceDN/>
        <w:bidi w:val="0"/>
        <w:adjustRightInd/>
        <w:snapToGrid/>
        <w:spacing w:line="580" w:lineRule="exact"/>
        <w:textAlignment w:val="auto"/>
        <w:rPr>
          <w:rStyle w:val="12"/>
          <w:rFonts w:hint="default" w:ascii="Times New Roman" w:hAnsi="Times New Roman" w:eastAsia="仿宋_GB2312" w:cs="Times New Roman"/>
          <w:sz w:val="32"/>
          <w:szCs w:val="32"/>
          <w:lang w:val="en-US" w:eastAsia="zh-CN"/>
        </w:rPr>
      </w:pPr>
      <w:r>
        <w:rPr>
          <w:rStyle w:val="12"/>
          <w:rFonts w:hint="eastAsia" w:ascii="Times New Roman" w:hAnsi="Times New Roman" w:eastAsia="仿宋_GB2312" w:cs="Times New Roman"/>
          <w:sz w:val="32"/>
          <w:szCs w:val="32"/>
          <w:lang w:val="en-US" w:eastAsia="zh-CN"/>
        </w:rPr>
        <w:t>建议</w:t>
      </w:r>
      <w:r>
        <w:rPr>
          <w:rStyle w:val="12"/>
          <w:rFonts w:hint="default" w:ascii="Times New Roman" w:hAnsi="Times New Roman" w:eastAsia="仿宋_GB2312" w:cs="Times New Roman"/>
          <w:sz w:val="32"/>
          <w:szCs w:val="32"/>
          <w:lang w:val="en-US" w:eastAsia="zh-CN"/>
        </w:rPr>
        <w:t>配备消毒柜，清洗消毒后达到无残渣、无积水、无油渍标准。</w:t>
      </w:r>
    </w:p>
    <w:p w14:paraId="08CD9F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iCs w:val="0"/>
          <w:caps w:val="0"/>
          <w:color w:val="auto"/>
          <w:spacing w:val="0"/>
          <w:sz w:val="32"/>
          <w:szCs w:val="32"/>
          <w:u w:val="none"/>
          <w:lang w:val="en-US" w:eastAsia="zh-CN"/>
        </w:rPr>
      </w:pPr>
      <w:r>
        <w:rPr>
          <w:rFonts w:hint="default" w:ascii="Times New Roman" w:hAnsi="Times New Roman" w:eastAsia="黑体" w:cs="Times New Roman"/>
          <w:b/>
          <w:bCs/>
          <w:i w:val="0"/>
          <w:iCs w:val="0"/>
          <w:caps w:val="0"/>
          <w:color w:val="auto"/>
          <w:spacing w:val="0"/>
          <w:sz w:val="32"/>
          <w:szCs w:val="32"/>
          <w:u w:val="none"/>
          <w:lang w:val="en-US" w:eastAsia="zh-CN"/>
        </w:rPr>
        <w:t>二、人员管理</w:t>
      </w:r>
    </w:p>
    <w:p w14:paraId="4DBBC52A">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4.从业人员持有效期内的健康证上岗，对发热、呕吐、腹泻等可能</w:t>
      </w:r>
      <w:r>
        <w:rPr>
          <w:rStyle w:val="12"/>
          <w:rFonts w:hint="eastAsia" w:ascii="Times New Roman" w:hAnsi="Times New Roman" w:eastAsia="仿宋_GB2312" w:cs="Times New Roman"/>
          <w:sz w:val="32"/>
          <w:szCs w:val="32"/>
          <w:lang w:val="en-US" w:eastAsia="zh-CN"/>
        </w:rPr>
        <w:t>影响</w:t>
      </w:r>
      <w:r>
        <w:rPr>
          <w:rStyle w:val="12"/>
          <w:rFonts w:hint="default" w:ascii="Times New Roman" w:hAnsi="Times New Roman" w:eastAsia="仿宋_GB2312" w:cs="Times New Roman"/>
          <w:sz w:val="32"/>
          <w:szCs w:val="32"/>
          <w:lang w:val="en-US" w:eastAsia="zh-CN"/>
        </w:rPr>
        <w:t>食品安全的员工，暂停从事直接入口食品工作。</w:t>
      </w:r>
    </w:p>
    <w:p w14:paraId="3DA3EDEC">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5.从业人员应根据岗位需要着工作服、工作帽、围裙、手套、口罩等，并随时保持干净整洁，佩戴规范。</w:t>
      </w:r>
    </w:p>
    <w:p w14:paraId="6A9FF7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iCs w:val="0"/>
          <w:caps w:val="0"/>
          <w:color w:val="auto"/>
          <w:spacing w:val="0"/>
          <w:sz w:val="32"/>
          <w:szCs w:val="32"/>
          <w:u w:val="none"/>
          <w:lang w:val="en-US" w:eastAsia="zh-CN"/>
        </w:rPr>
      </w:pPr>
      <w:r>
        <w:rPr>
          <w:rFonts w:hint="default" w:ascii="Times New Roman" w:hAnsi="Times New Roman" w:eastAsia="黑体" w:cs="Times New Roman"/>
          <w:b/>
          <w:bCs/>
          <w:i w:val="0"/>
          <w:iCs w:val="0"/>
          <w:caps w:val="0"/>
          <w:color w:val="auto"/>
          <w:spacing w:val="0"/>
          <w:sz w:val="32"/>
          <w:szCs w:val="32"/>
          <w:u w:val="none"/>
          <w:lang w:val="en-US" w:eastAsia="zh-CN"/>
        </w:rPr>
        <w:t>三、燃气安全</w:t>
      </w:r>
    </w:p>
    <w:p w14:paraId="07B58FBA">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6.严禁在不具备液化石油气使用条件或存在安全隐患的场所使用瓶装液化石油气，应采用管道燃气或电能方式供能。</w:t>
      </w:r>
    </w:p>
    <w:p w14:paraId="0840AE20">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7.使用瓶装液化石油气应严格按标准规范安装、使用合格的“瓶、管、阀、灶”。</w:t>
      </w:r>
    </w:p>
    <w:p w14:paraId="308EAF5A">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8.应规范安装、使用可燃气体泄漏报警器及紧急切断装置，不得私自停用或拆除。</w:t>
      </w:r>
    </w:p>
    <w:p w14:paraId="299CA020">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9.同一房间内严禁使用两种及以上燃料</w:t>
      </w:r>
      <w:r>
        <w:rPr>
          <w:rStyle w:val="12"/>
          <w:rFonts w:hint="eastAsia" w:ascii="Times New Roman" w:hAnsi="Times New Roman" w:eastAsia="仿宋_GB2312" w:cs="Times New Roman"/>
          <w:sz w:val="32"/>
          <w:szCs w:val="32"/>
          <w:lang w:val="en-US" w:eastAsia="zh-CN"/>
        </w:rPr>
        <w:t>；</w:t>
      </w:r>
      <w:r>
        <w:rPr>
          <w:rStyle w:val="12"/>
          <w:rFonts w:hint="default" w:ascii="Times New Roman" w:hAnsi="Times New Roman" w:eastAsia="仿宋_GB2312" w:cs="Times New Roman"/>
          <w:sz w:val="32"/>
          <w:szCs w:val="32"/>
          <w:lang w:val="en-US" w:eastAsia="zh-CN"/>
        </w:rPr>
        <w:t>用气房间不得同时存放或使用其他燃料。</w:t>
      </w:r>
    </w:p>
    <w:p w14:paraId="35E6B6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bCs/>
          <w:i w:val="0"/>
          <w:iCs w:val="0"/>
          <w:caps w:val="0"/>
          <w:color w:val="auto"/>
          <w:spacing w:val="0"/>
          <w:sz w:val="32"/>
          <w:szCs w:val="32"/>
          <w:u w:val="none"/>
          <w:lang w:val="en-US" w:eastAsia="zh-CN"/>
        </w:rPr>
      </w:pPr>
      <w:r>
        <w:rPr>
          <w:rFonts w:hint="default" w:ascii="Times New Roman" w:hAnsi="Times New Roman" w:eastAsia="黑体" w:cs="Times New Roman"/>
          <w:b/>
          <w:bCs/>
          <w:i w:val="0"/>
          <w:iCs w:val="0"/>
          <w:caps w:val="0"/>
          <w:color w:val="auto"/>
          <w:spacing w:val="0"/>
          <w:sz w:val="32"/>
          <w:szCs w:val="32"/>
          <w:u w:val="none"/>
          <w:lang w:val="en-US" w:eastAsia="zh-CN"/>
        </w:rPr>
        <w:t>四、消防安全</w:t>
      </w:r>
    </w:p>
    <w:p w14:paraId="63510BF4">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10.营业期间不得占用、堵塞疏散通道，不得遮挡、锁闭安全出口，外窗不得设置影响逃生和灭火救援的铁栅栏、防盗网。</w:t>
      </w:r>
    </w:p>
    <w:p w14:paraId="73D5C9E3">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11.室内外装修不得使用易燃材料，每季度至少清洗1次油烟管道。</w:t>
      </w:r>
    </w:p>
    <w:p w14:paraId="6DEC0DD6">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12.按要求配备灭火器、灭火毯、应急照明与疏散指示标志等消防设施器材，并保持完好有效。</w:t>
      </w:r>
    </w:p>
    <w:p w14:paraId="18ED636F">
      <w:pPr>
        <w:keepNext w:val="0"/>
        <w:keepLines w:val="0"/>
        <w:pageBreakBefore w:val="0"/>
        <w:widowControl w:val="0"/>
        <w:tabs>
          <w:tab w:val="left" w:pos="7140"/>
        </w:tabs>
        <w:kinsoku/>
        <w:wordWrap/>
        <w:overflowPunct/>
        <w:topLinePunct w:val="0"/>
        <w:autoSpaceDE/>
        <w:autoSpaceDN/>
        <w:bidi w:val="0"/>
        <w:adjustRightInd/>
        <w:snapToGrid/>
        <w:spacing w:line="580" w:lineRule="exact"/>
        <w:ind w:firstLine="640" w:firstLineChars="200"/>
        <w:textAlignment w:val="auto"/>
        <w:rPr>
          <w:rStyle w:val="12"/>
          <w:rFonts w:hint="default" w:ascii="Times New Roman" w:hAnsi="Times New Roman" w:eastAsia="仿宋_GB2312" w:cs="Times New Roman"/>
          <w:sz w:val="32"/>
          <w:szCs w:val="32"/>
          <w:lang w:val="en-US" w:eastAsia="zh-CN"/>
        </w:rPr>
      </w:pPr>
      <w:r>
        <w:rPr>
          <w:rStyle w:val="12"/>
          <w:rFonts w:hint="default" w:ascii="Times New Roman" w:hAnsi="Times New Roman" w:eastAsia="仿宋_GB2312" w:cs="Times New Roman"/>
          <w:sz w:val="32"/>
          <w:szCs w:val="32"/>
          <w:lang w:val="en-US" w:eastAsia="zh-CN"/>
        </w:rPr>
        <w:t>13.营业期间严禁实施电焊、切割等明火作业。</w:t>
      </w:r>
    </w:p>
    <w:p w14:paraId="7E54DF82">
      <w:pPr>
        <w:spacing w:line="540" w:lineRule="exact"/>
      </w:pPr>
      <w:bookmarkStart w:id="0" w:name="_GoBack"/>
      <w:bookmarkEnd w:id="0"/>
      <w:r>
        <w:rPr>
          <w:rFonts w:hint="eastAsia" w:ascii="仿宋_GB2312" w:eastAsia="仿宋_GB2312"/>
          <w:sz w:val="28"/>
          <w:szCs w:val="28"/>
        </w:rPr>
        <mc:AlternateContent>
          <mc:Choice Requires="wps">
            <w:drawing>
              <wp:anchor distT="0" distB="0" distL="114300" distR="114300" simplePos="0" relativeHeight="251659264" behindDoc="1" locked="0" layoutInCell="1" allowOverlap="1">
                <wp:simplePos x="0" y="0"/>
                <wp:positionH relativeFrom="column">
                  <wp:posOffset>3657600</wp:posOffset>
                </wp:positionH>
                <wp:positionV relativeFrom="paragraph">
                  <wp:posOffset>497840</wp:posOffset>
                </wp:positionV>
                <wp:extent cx="1980565" cy="6883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80565" cy="688340"/>
                        </a:xfrm>
                        <a:prstGeom prst="rect">
                          <a:avLst/>
                        </a:prstGeom>
                        <a:noFill/>
                        <a:ln>
                          <a:noFill/>
                        </a:ln>
                      </wps:spPr>
                      <wps:txbx>
                        <w:txbxContent>
                          <w:p w14:paraId="5C011F37"/>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88pt;margin-top:39.2pt;height:54.2pt;width:155.95pt;mso-wrap-style:none;z-index:-251657216;mso-width-relative:page;mso-height-relative:page;" filled="f" stroked="f" coordsize="21600,21600" o:gfxdata="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9I0zT1QAAAAoBAAAPAAAAAAAAAAEA&#10;IAAAACIAAABkcnMvZG93bnJldi54bWxQSwECFAAUAAAACACHTuJANnVV19kBAACoAwAADgAAAAAA&#10;AAABACAAAAAkAQAAZHJzL2Uyb0RvYy54bWxQSwUGAAAAAAYABgBZAQAAbwUAAAAA&#10;">
                <v:fill on="f" focussize="0,0"/>
                <v:stroke on="f"/>
                <v:imagedata o:title=""/>
                <o:lock v:ext="edit" aspectratio="f"/>
                <v:textbox inset="7.09pt,1.30175mm,7.09pt,1.30175mm" style="mso-fit-shape-to-text:t;">
                  <w:txbxContent>
                    <w:p w14:paraId="5C011F37"/>
                  </w:txbxContent>
                </v:textbox>
              </v:shape>
            </w:pict>
          </mc:Fallback>
        </mc:AlternateContent>
      </w:r>
    </w:p>
    <w:sectPr>
      <w:headerReference r:id="rId3" w:type="default"/>
      <w:footerReference r:id="rId4" w:type="default"/>
      <w:footerReference r:id="rId5" w:type="even"/>
      <w:pgSz w:w="11906" w:h="16838"/>
      <w:pgMar w:top="2098" w:right="1474" w:bottom="1985" w:left="1588" w:header="851" w:footer="124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93C0">
    <w:pPr>
      <w:pStyle w:val="6"/>
      <w:framePr w:w="1701" w:wrap="around" w:vAnchor="text" w:hAnchor="margin" w:xAlign="outside" w:y="-351"/>
      <w:ind w:firstLine="280" w:firstLineChars="100"/>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19</w:t>
    </w:r>
    <w:r>
      <w:rPr>
        <w:rStyle w:val="11"/>
        <w:rFonts w:ascii="宋体" w:hAnsi="宋体"/>
        <w:sz w:val="28"/>
        <w:szCs w:val="28"/>
      </w:rPr>
      <w:fldChar w:fldCharType="end"/>
    </w:r>
    <w:r>
      <w:rPr>
        <w:rStyle w:val="11"/>
        <w:rFonts w:hint="eastAsia" w:ascii="宋体" w:hAnsi="宋体"/>
        <w:sz w:val="28"/>
        <w:szCs w:val="28"/>
      </w:rPr>
      <w:t xml:space="preserve"> —</w:t>
    </w:r>
  </w:p>
  <w:p w14:paraId="21D06A93">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3362">
    <w:pPr>
      <w:pStyle w:val="6"/>
      <w:framePr w:w="1701" w:wrap="around" w:vAnchor="text" w:hAnchor="margin" w:xAlign="outside" w:y="-351"/>
      <w:ind w:firstLine="280" w:firstLineChars="100"/>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22</w:t>
    </w:r>
    <w:r>
      <w:rPr>
        <w:rStyle w:val="11"/>
        <w:rFonts w:ascii="宋体" w:hAnsi="宋体"/>
        <w:sz w:val="28"/>
        <w:szCs w:val="28"/>
      </w:rPr>
      <w:fldChar w:fldCharType="end"/>
    </w:r>
    <w:r>
      <w:rPr>
        <w:rStyle w:val="11"/>
        <w:rFonts w:hint="eastAsia" w:ascii="宋体" w:hAnsi="宋体"/>
        <w:sz w:val="28"/>
        <w:szCs w:val="28"/>
      </w:rPr>
      <w:t xml:space="preserve"> —</w:t>
    </w:r>
  </w:p>
  <w:p w14:paraId="55979AEF">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4C6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FD642"/>
    <w:multiLevelType w:val="multilevel"/>
    <w:tmpl w:val="C0FFD642"/>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E721D"/>
    <w:rsid w:val="27BE721D"/>
    <w:rsid w:val="2FB73055"/>
    <w:rsid w:val="6BFD82E5"/>
    <w:rsid w:val="79FDF087"/>
    <w:rsid w:val="7FFB40D8"/>
    <w:rsid w:val="AFFDEB32"/>
    <w:rsid w:val="E6BE2C80"/>
    <w:rsid w:val="F6D2C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exact"/>
      <w:jc w:val="center"/>
      <w:outlineLvl w:val="0"/>
    </w:pPr>
    <w:rPr>
      <w:rFonts w:ascii="Times New Roman" w:hAnsi="Times New Roman" w:eastAsia="方正大标宋简体"/>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Plain Text"/>
    <w:basedOn w:val="1"/>
    <w:qFormat/>
    <w:uiPriority w:val="0"/>
    <w:rPr>
      <w:rFonts w:ascii="宋体" w:hAnsi="Courier New"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1"/>
    <w:link w:val="13"/>
    <w:semiHidden/>
    <w:qFormat/>
    <w:uiPriority w:val="0"/>
  </w:style>
  <w:style w:type="paragraph" w:customStyle="1" w:styleId="13">
    <w:name w:val="UserStyle_0"/>
    <w:basedOn w:val="1"/>
    <w:link w:val="12"/>
    <w:qFormat/>
    <w:uiPriority w:val="0"/>
    <w:pPr>
      <w:widowControl/>
      <w:spacing w:after="160" w:line="240" w:lineRule="exact"/>
      <w:jc w:val="left"/>
      <w:textAlignment w:val="baseline"/>
    </w:pPr>
  </w:style>
  <w:style w:type="paragraph" w:customStyle="1" w:styleId="14">
    <w:name w:val="Table Text"/>
    <w:basedOn w:val="1"/>
    <w:qFormat/>
    <w:uiPriority w:val="0"/>
    <w:rPr>
      <w:rFonts w:ascii="Arial" w:hAnsi="Arial" w:eastAsia="Arial" w:cs="Arial"/>
      <w:sz w:val="21"/>
      <w:szCs w:val="21"/>
      <w:lang w:val="en-US" w:eastAsia="en-US" w:bidi="ar-SA"/>
    </w:rPr>
  </w:style>
  <w:style w:type="paragraph" w:customStyle="1" w:styleId="15">
    <w:name w:val=" Char1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2026-01-09T18:36:00Z</dcterms:created>
  <dc:creator>user</dc:creator>
  <cp:lastModifiedBy>swxx</cp:lastModifiedBy>
  <dcterms:modified xsi:type="dcterms:W3CDTF">2026-01-09T18:10:17Z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098B575B08F4A52409D4606937D991E3_43</vt:lpwstr>
  </property>
</Properties>
</file>